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60EA8D" w14:textId="77777777" w:rsidR="00463CAF" w:rsidRPr="00463CAF" w:rsidRDefault="00463CAF" w:rsidP="00463CAF">
      <w:pPr>
        <w:spacing w:line="240" w:lineRule="auto"/>
        <w:rPr>
          <w:rFonts w:ascii="Arial" w:eastAsia="Arial" w:hAnsi="Arial" w:cs="Arial"/>
          <w:kern w:val="2"/>
          <w:lang w:val="fr-CA" w:eastAsia="en-US"/>
          <w14:ligatures w14:val="standardContextual"/>
        </w:rPr>
      </w:pPr>
      <w:r w:rsidRPr="00463CAF">
        <w:rPr>
          <w:rFonts w:ascii="Arial" w:eastAsia="Yu Gothic" w:hAnsi="Arial" w:cs="Arial"/>
          <w:kern w:val="2"/>
          <w:lang w:val="fr-CA" w:eastAsia="en-US"/>
          <w14:ligatures w14:val="standardContextual"/>
        </w:rPr>
        <w:t xml:space="preserve">La </w:t>
      </w:r>
      <w:r w:rsidRPr="00463CAF">
        <w:rPr>
          <w:rFonts w:ascii="Arial" w:eastAsia="Yu Gothic" w:hAnsi="Arial" w:cs="Arial"/>
          <w:b/>
          <w:bCs/>
          <w:kern w:val="2"/>
          <w:lang w:val="fr-CA" w:eastAsia="en-US"/>
          <w14:ligatures w14:val="standardContextual"/>
        </w:rPr>
        <w:t>Stratégie emploi et compétences jeunesse</w:t>
      </w:r>
      <w:r w:rsidRPr="00463CAF">
        <w:rPr>
          <w:rFonts w:ascii="Arial" w:eastAsia="Yu Gothic" w:hAnsi="Arial" w:cs="Arial"/>
          <w:kern w:val="2"/>
          <w:lang w:val="fr-CA" w:eastAsia="en-US"/>
          <w14:ligatures w14:val="standardContextual"/>
        </w:rPr>
        <w:t xml:space="preserve"> (SECJ) est une initiative horizontale du gouvernement du Canada dirigée par Emploi et Développement social Canada (EDSC) et mise en œuvre en partenariat avec 11 ministères, agences et sociétés d’État.</w:t>
      </w:r>
    </w:p>
    <w:p w14:paraId="0C13223B" w14:textId="77777777" w:rsidR="00463CAF" w:rsidRPr="00463CAF" w:rsidRDefault="00463CAF" w:rsidP="00463CAF">
      <w:pPr>
        <w:spacing w:after="0" w:line="240" w:lineRule="auto"/>
        <w:rPr>
          <w:rFonts w:ascii="Arial" w:eastAsia="Aptos" w:hAnsi="Arial" w:cs="Arial"/>
          <w:kern w:val="2"/>
          <w:lang w:val="fr-CA" w:eastAsia="en-US"/>
          <w14:ligatures w14:val="standardContextual"/>
        </w:rPr>
      </w:pPr>
      <w:r w:rsidRPr="00463CAF">
        <w:rPr>
          <w:rFonts w:ascii="Arial" w:eastAsia="Aptos" w:hAnsi="Arial" w:cs="Arial"/>
          <w:kern w:val="2"/>
          <w:lang w:val="fr-CA" w:eastAsia="en-US"/>
          <w14:ligatures w14:val="standardContextual"/>
        </w:rPr>
        <w:t xml:space="preserve">Grâce à la mise en œuvre de 16 programmes uniques, la Stratégie vise à offrir aux jeunes (âgés de 15 à 30 ans), y compris ceux qui peuvent être sous-représentés ou qui font </w:t>
      </w:r>
      <w:r w:rsidRPr="00463CAF">
        <w:rPr>
          <w:rFonts w:ascii="Arial" w:eastAsia="Calibri" w:hAnsi="Arial" w:cs="Arial"/>
          <w:kern w:val="2"/>
          <w:lang w:val="fr-CA" w:eastAsia="en-US"/>
          <w14:ligatures w14:val="standardContextual"/>
        </w:rPr>
        <w:t>face</w:t>
      </w:r>
      <w:r w:rsidRPr="00463CAF">
        <w:rPr>
          <w:rFonts w:ascii="Arial" w:eastAsia="Aptos" w:hAnsi="Arial" w:cs="Arial"/>
          <w:kern w:val="2"/>
          <w:lang w:val="fr-CA" w:eastAsia="en-US"/>
          <w14:ligatures w14:val="standardContextual"/>
        </w:rPr>
        <w:t xml:space="preserve"> à des obstacles à l’emploi, des occasions réelles d’acquérir de l’expérience de travail, d’acquérir les compétences nécessaires et de recevoir des mesures de soutien globales pour les aider à trouver et à conserver des emplois de qualité. Les programmes de la SECJ aident les jeunes à éliminer les obstacles qui les empêchent de progresser, d’atteindre leurs objectifs d’emploi et de s’épanouir.</w:t>
      </w:r>
    </w:p>
    <w:p w14:paraId="5514E056" w14:textId="77777777" w:rsidR="00463CAF" w:rsidRPr="00463CAF" w:rsidRDefault="00463CAF" w:rsidP="00463CAF">
      <w:pPr>
        <w:spacing w:after="0" w:line="240" w:lineRule="auto"/>
        <w:rPr>
          <w:rFonts w:ascii="Arial" w:eastAsia="Aptos" w:hAnsi="Arial" w:cs="Arial"/>
          <w:kern w:val="2"/>
          <w:lang w:val="fr-CA" w:eastAsia="en-US"/>
          <w14:ligatures w14:val="standardContextual"/>
        </w:rPr>
      </w:pPr>
    </w:p>
    <w:p w14:paraId="1CEF3835" w14:textId="77777777" w:rsidR="00463CAF" w:rsidRPr="00463CAF" w:rsidRDefault="00463CAF" w:rsidP="00463CAF">
      <w:pPr>
        <w:spacing w:line="240" w:lineRule="auto"/>
        <w:rPr>
          <w:rFonts w:ascii="Arial" w:eastAsia="Aptos" w:hAnsi="Arial" w:cs="Arial"/>
          <w:kern w:val="2"/>
          <w:lang w:val="fr-CA" w:eastAsia="en-US"/>
          <w14:ligatures w14:val="standardContextual"/>
        </w:rPr>
      </w:pPr>
      <w:r w:rsidRPr="00463CAF">
        <w:rPr>
          <w:rFonts w:ascii="Arial" w:eastAsia="Aptos" w:hAnsi="Arial" w:cs="Arial"/>
          <w:kern w:val="2"/>
          <w:lang w:val="fr-CA" w:eastAsia="en-US"/>
          <w14:ligatures w14:val="standardContextual"/>
        </w:rPr>
        <w:t>Emploi et Développement social Canada (EDSC) met en œuvre deux programmes dans le cadre de la Stratégie :</w:t>
      </w:r>
    </w:p>
    <w:p w14:paraId="204C117D" w14:textId="77777777" w:rsidR="00463CAF" w:rsidRPr="00463CAF" w:rsidRDefault="00463CAF" w:rsidP="00463CAF">
      <w:pPr>
        <w:numPr>
          <w:ilvl w:val="0"/>
          <w:numId w:val="2"/>
        </w:numPr>
        <w:spacing w:before="240" w:line="240" w:lineRule="auto"/>
        <w:contextualSpacing/>
        <w:rPr>
          <w:rFonts w:ascii="Arial" w:eastAsia="Yu Gothic" w:hAnsi="Arial" w:cs="Arial"/>
          <w:kern w:val="2"/>
          <w:lang w:val="fr-CA" w:eastAsia="en-CA"/>
          <w14:ligatures w14:val="standardContextual"/>
        </w:rPr>
      </w:pPr>
      <w:r w:rsidRPr="00463CAF">
        <w:rPr>
          <w:rFonts w:ascii="Arial" w:eastAsia="Yu Gothic" w:hAnsi="Arial" w:cs="Arial"/>
          <w:kern w:val="2"/>
          <w:lang w:val="fr-CA" w:eastAsia="en-CA"/>
          <w14:ligatures w14:val="standardContextual"/>
        </w:rPr>
        <w:t xml:space="preserve">Le </w:t>
      </w:r>
      <w:r w:rsidRPr="00463CAF">
        <w:rPr>
          <w:rFonts w:ascii="Arial" w:eastAsia="Yu Gothic" w:hAnsi="Arial" w:cs="Arial"/>
          <w:b/>
          <w:bCs/>
          <w:kern w:val="2"/>
          <w:lang w:val="fr-CA" w:eastAsia="en-CA"/>
          <w14:ligatures w14:val="standardContextual"/>
        </w:rPr>
        <w:t>programme de la Stratégie emploi et compétences jeunesse (SECJ)</w:t>
      </w:r>
      <w:r w:rsidRPr="00463CAF">
        <w:rPr>
          <w:rFonts w:ascii="Arial" w:eastAsia="Yu Gothic" w:hAnsi="Arial" w:cs="Arial"/>
          <w:kern w:val="2"/>
          <w:lang w:val="fr-CA" w:eastAsia="en-CA"/>
          <w14:ligatures w14:val="standardContextual"/>
        </w:rPr>
        <w:t xml:space="preserve"> aide les jeunes (âgés de 15 à 30 ans) à surmonter les obstacles à l’emploi, en mettant l’accent sur ceux qui sont les plus éloignés des possibilités, comme ceux qui ne sont ni en emploi, ni aux études, ni en formation [NEET]</w:t>
      </w:r>
      <w:r w:rsidRPr="00463CAF">
        <w:rPr>
          <w:rFonts w:ascii="Arial" w:eastAsia="Arial" w:hAnsi="Arial" w:cs="Arial"/>
          <w:kern w:val="2"/>
          <w:lang w:val="fr-CA" w:eastAsia="en-US"/>
          <w14:ligatures w14:val="standardContextual"/>
        </w:rPr>
        <w:t>)</w:t>
      </w:r>
      <w:r w:rsidRPr="00463CAF">
        <w:rPr>
          <w:rFonts w:ascii="Arial" w:eastAsia="Yu Gothic" w:hAnsi="Arial" w:cs="Arial"/>
          <w:kern w:val="2"/>
          <w:lang w:val="fr-CA" w:eastAsia="en-CA"/>
          <w14:ligatures w14:val="standardContextual"/>
        </w:rPr>
        <w:t xml:space="preserve">. </w:t>
      </w:r>
    </w:p>
    <w:p w14:paraId="21479FC9" w14:textId="77777777" w:rsidR="00463CAF" w:rsidRPr="00463CAF" w:rsidRDefault="00463CAF" w:rsidP="00463CAF">
      <w:pPr>
        <w:spacing w:line="240" w:lineRule="auto"/>
        <w:ind w:left="1080"/>
        <w:contextualSpacing/>
        <w:rPr>
          <w:rFonts w:ascii="Arial" w:eastAsia="Yu Gothic" w:hAnsi="Arial" w:cs="Arial"/>
          <w:kern w:val="2"/>
          <w:lang w:val="fr-CA" w:eastAsia="en-CA"/>
          <w14:ligatures w14:val="standardContextual"/>
        </w:rPr>
      </w:pPr>
    </w:p>
    <w:p w14:paraId="53C99E69" w14:textId="77777777" w:rsidR="00463CAF" w:rsidRPr="00463CAF" w:rsidRDefault="00463CAF" w:rsidP="00463CAF">
      <w:pPr>
        <w:spacing w:line="240" w:lineRule="auto"/>
        <w:ind w:left="1080"/>
        <w:contextualSpacing/>
        <w:rPr>
          <w:rFonts w:ascii="Arial" w:eastAsia="Yu Gothic" w:hAnsi="Arial" w:cs="Arial"/>
          <w:kern w:val="2"/>
          <w:lang w:val="fr-CA" w:eastAsia="en-CA"/>
          <w14:ligatures w14:val="standardContextual"/>
        </w:rPr>
      </w:pPr>
      <w:r w:rsidRPr="00463CAF">
        <w:rPr>
          <w:rFonts w:ascii="Arial" w:eastAsia="Yu Gothic" w:hAnsi="Arial" w:cs="Arial"/>
          <w:kern w:val="2"/>
          <w:lang w:val="fr-CA" w:eastAsia="en-CA"/>
          <w14:ligatures w14:val="standardContextual"/>
        </w:rPr>
        <w:t>Le programme fournit des fonds aux organismes pour leur offrir des soutiens et des services personnalisés dans le but de doter les jeunes des outils dont ils ont besoin pour réussir dans leur parcours professionnel. Par exemple, dans le cadre de leurs programmes d’emploi, les jeunes peuvent bénéficier d’un mentorat, d’occasions perfectionnement des compétences et d’une formation, d’un soutien global (p. ex., soutien pour les personnes à charge, counseling en santé mentale) et/ou d’expériences de travail rémunérées.</w:t>
      </w:r>
    </w:p>
    <w:p w14:paraId="78CF0B6A" w14:textId="77777777" w:rsidR="00463CAF" w:rsidRPr="00463CAF" w:rsidRDefault="00463CAF" w:rsidP="00463CAF">
      <w:pPr>
        <w:spacing w:line="259" w:lineRule="auto"/>
        <w:ind w:left="1080"/>
        <w:contextualSpacing/>
        <w:rPr>
          <w:rFonts w:ascii="Arial" w:eastAsia="Yu Gothic" w:hAnsi="Arial" w:cs="Arial"/>
          <w:kern w:val="2"/>
          <w:lang w:val="fr-CA" w:eastAsia="en-CA"/>
          <w14:ligatures w14:val="standardContextual"/>
        </w:rPr>
      </w:pPr>
      <w:r w:rsidRPr="00463CAF">
        <w:rPr>
          <w:rFonts w:ascii="Arial" w:eastAsia="Yu Gothic" w:hAnsi="Arial" w:cs="Arial"/>
          <w:kern w:val="2"/>
          <w:lang w:val="fr-CA" w:eastAsia="en-CA"/>
          <w14:ligatures w14:val="standardContextual"/>
        </w:rPr>
        <w:t> </w:t>
      </w:r>
    </w:p>
    <w:p w14:paraId="39F5E994" w14:textId="77777777" w:rsidR="00463CAF" w:rsidRPr="00463CAF" w:rsidRDefault="00463CAF" w:rsidP="00463CAF">
      <w:pPr>
        <w:spacing w:line="259" w:lineRule="auto"/>
        <w:ind w:left="1080"/>
        <w:contextualSpacing/>
        <w:rPr>
          <w:rFonts w:ascii="Arial" w:eastAsia="Yu Gothic" w:hAnsi="Arial" w:cs="Arial"/>
          <w:kern w:val="2"/>
          <w:lang w:val="fr-CA" w:eastAsia="en-CA"/>
          <w14:ligatures w14:val="standardContextual"/>
        </w:rPr>
      </w:pPr>
      <w:r w:rsidRPr="00463CAF">
        <w:rPr>
          <w:rFonts w:ascii="Arial" w:eastAsia="Yu Gothic" w:hAnsi="Arial" w:cs="Arial"/>
          <w:kern w:val="2"/>
          <w:lang w:val="fr-CA" w:eastAsia="en-CA"/>
          <w14:ligatures w14:val="standardContextual"/>
        </w:rPr>
        <w:t>De plus, le programme encourage la collaboration stratégique intersectorielle et l’innovation afin de relever les défis systémiques nouveaux et émergents dans le secteur de l’emploi des jeunes (p. ex., employeurs, fournisseurs de services, établissements d’enseignement) et d’accroître la capacité organisationnelle d’améliorer les résultats pour les jeunes partout au pays.</w:t>
      </w:r>
    </w:p>
    <w:p w14:paraId="2A0EA736" w14:textId="77777777" w:rsidR="00463CAF" w:rsidRPr="00463CAF" w:rsidRDefault="00463CAF" w:rsidP="00463CAF">
      <w:pPr>
        <w:spacing w:line="259" w:lineRule="auto"/>
        <w:ind w:left="1080"/>
        <w:contextualSpacing/>
        <w:rPr>
          <w:rFonts w:ascii="Arial" w:eastAsia="Yu Gothic" w:hAnsi="Arial" w:cs="Arial"/>
          <w:kern w:val="2"/>
          <w:lang w:val="fr-CA" w:eastAsia="en-CA"/>
          <w14:ligatures w14:val="standardContextual"/>
        </w:rPr>
      </w:pPr>
    </w:p>
    <w:p w14:paraId="0F31914C" w14:textId="77777777" w:rsidR="00463CAF" w:rsidRPr="00463CAF" w:rsidRDefault="00463CAF" w:rsidP="00463CAF">
      <w:pPr>
        <w:spacing w:line="259" w:lineRule="auto"/>
        <w:ind w:left="1080"/>
        <w:contextualSpacing/>
        <w:rPr>
          <w:rFonts w:ascii="Arial" w:eastAsia="Times New Roman" w:hAnsi="Arial" w:cs="Arial"/>
          <w:kern w:val="2"/>
          <w:lang w:val="fr-CA" w:eastAsia="en-CA"/>
          <w14:ligatures w14:val="standardContextual"/>
        </w:rPr>
      </w:pPr>
      <w:r w:rsidRPr="00463CAF">
        <w:rPr>
          <w:rFonts w:ascii="Arial" w:eastAsia="Times New Roman" w:hAnsi="Arial" w:cs="Arial"/>
          <w:kern w:val="2"/>
          <w:lang w:val="fr-CA" w:eastAsia="en-CA"/>
          <w14:ligatures w14:val="standardContextual"/>
        </w:rPr>
        <w:t xml:space="preserve">Les jeunes qui font face à des </w:t>
      </w:r>
      <w:r w:rsidRPr="00463CAF">
        <w:rPr>
          <w:rFonts w:ascii="Arial" w:eastAsia="Yu Gothic" w:hAnsi="Arial" w:cs="Arial"/>
          <w:kern w:val="2"/>
          <w:lang w:val="fr-CA" w:eastAsia="en-CA"/>
          <w14:ligatures w14:val="standardContextual"/>
        </w:rPr>
        <w:t>obstacles</w:t>
      </w:r>
      <w:r w:rsidRPr="00463CAF">
        <w:rPr>
          <w:rFonts w:ascii="Arial" w:eastAsia="Times New Roman" w:hAnsi="Arial" w:cs="Arial"/>
          <w:kern w:val="2"/>
          <w:lang w:val="fr-CA" w:eastAsia="en-CA"/>
          <w14:ligatures w14:val="standardContextual"/>
        </w:rPr>
        <w:t xml:space="preserve"> comprennent souvent : </w:t>
      </w:r>
    </w:p>
    <w:p w14:paraId="7B9FB971" w14:textId="77777777" w:rsidR="00463CAF" w:rsidRPr="00463CAF" w:rsidRDefault="00463CAF" w:rsidP="00463CAF">
      <w:pPr>
        <w:numPr>
          <w:ilvl w:val="2"/>
          <w:numId w:val="1"/>
        </w:numPr>
        <w:spacing w:line="240" w:lineRule="auto"/>
        <w:contextualSpacing/>
        <w:rPr>
          <w:rFonts w:ascii="Arial" w:eastAsia="Yu Gothic" w:hAnsi="Arial" w:cs="Arial"/>
          <w:kern w:val="2"/>
          <w:lang w:val="en-CA" w:eastAsia="en-US"/>
          <w14:ligatures w14:val="standardContextual"/>
        </w:rPr>
      </w:pPr>
      <w:r w:rsidRPr="00463CAF">
        <w:rPr>
          <w:rFonts w:ascii="Arial" w:eastAsia="Yu Gothic" w:hAnsi="Arial" w:cs="Arial"/>
          <w:kern w:val="2"/>
          <w:lang w:val="en-CA" w:eastAsia="en-US"/>
          <w14:ligatures w14:val="standardContextual"/>
        </w:rPr>
        <w:t xml:space="preserve">les jeunes </w:t>
      </w:r>
      <w:proofErr w:type="spellStart"/>
      <w:proofErr w:type="gramStart"/>
      <w:r w:rsidRPr="00463CAF">
        <w:rPr>
          <w:rFonts w:ascii="Arial" w:eastAsia="Yu Gothic" w:hAnsi="Arial" w:cs="Arial"/>
          <w:kern w:val="2"/>
          <w:lang w:val="en-CA" w:eastAsia="en-US"/>
          <w14:ligatures w14:val="standardContextual"/>
        </w:rPr>
        <w:t>Autochtones</w:t>
      </w:r>
      <w:proofErr w:type="spellEnd"/>
      <w:r w:rsidRPr="00463CAF">
        <w:rPr>
          <w:rFonts w:ascii="Arial" w:eastAsia="Yu Gothic" w:hAnsi="Arial" w:cs="Arial"/>
          <w:kern w:val="2"/>
          <w:lang w:val="en-CA" w:eastAsia="en-US"/>
          <w14:ligatures w14:val="standardContextual"/>
        </w:rPr>
        <w:t>;</w:t>
      </w:r>
      <w:proofErr w:type="gramEnd"/>
    </w:p>
    <w:p w14:paraId="399A2407" w14:textId="77777777" w:rsidR="00463CAF" w:rsidRPr="00463CAF" w:rsidRDefault="00463CAF" w:rsidP="00463CAF">
      <w:pPr>
        <w:numPr>
          <w:ilvl w:val="2"/>
          <w:numId w:val="1"/>
        </w:numPr>
        <w:spacing w:line="240" w:lineRule="auto"/>
        <w:contextualSpacing/>
        <w:rPr>
          <w:rFonts w:ascii="Arial" w:eastAsia="Yu Gothic" w:hAnsi="Arial" w:cs="Arial"/>
          <w:kern w:val="2"/>
          <w:lang w:val="en-CA" w:eastAsia="en-US"/>
          <w14:ligatures w14:val="standardContextual"/>
        </w:rPr>
      </w:pPr>
      <w:r w:rsidRPr="00463CAF">
        <w:rPr>
          <w:rFonts w:ascii="Arial" w:eastAsia="Yu Gothic" w:hAnsi="Arial" w:cs="Arial"/>
          <w:kern w:val="2"/>
          <w:lang w:val="en-CA" w:eastAsia="en-US"/>
          <w14:ligatures w14:val="standardContextual"/>
        </w:rPr>
        <w:t xml:space="preserve">les jeunes </w:t>
      </w:r>
      <w:proofErr w:type="gramStart"/>
      <w:r w:rsidRPr="00463CAF">
        <w:rPr>
          <w:rFonts w:ascii="Arial" w:eastAsia="Yu Gothic" w:hAnsi="Arial" w:cs="Arial"/>
          <w:kern w:val="2"/>
          <w:lang w:val="en-CA" w:eastAsia="en-US"/>
          <w14:ligatures w14:val="standardContextual"/>
        </w:rPr>
        <w:t>Noirs;</w:t>
      </w:r>
      <w:proofErr w:type="gramEnd"/>
    </w:p>
    <w:p w14:paraId="696503AC" w14:textId="77777777" w:rsidR="00463CAF" w:rsidRPr="00463CAF" w:rsidRDefault="00463CAF" w:rsidP="00463CAF">
      <w:pPr>
        <w:numPr>
          <w:ilvl w:val="2"/>
          <w:numId w:val="1"/>
        </w:numPr>
        <w:spacing w:line="240" w:lineRule="auto"/>
        <w:contextualSpacing/>
        <w:rPr>
          <w:rFonts w:ascii="Arial" w:eastAsia="Yu Gothic" w:hAnsi="Arial" w:cs="Arial"/>
          <w:kern w:val="2"/>
          <w:lang w:val="en-CA" w:eastAsia="en-US"/>
          <w14:ligatures w14:val="standardContextual"/>
        </w:rPr>
      </w:pPr>
      <w:r w:rsidRPr="00463CAF">
        <w:rPr>
          <w:rFonts w:ascii="Arial" w:eastAsia="Yu Gothic" w:hAnsi="Arial" w:cs="Arial"/>
          <w:kern w:val="2"/>
          <w:lang w:val="en-CA" w:eastAsia="en-US"/>
          <w14:ligatures w14:val="standardContextual"/>
        </w:rPr>
        <w:t xml:space="preserve">les jeunes </w:t>
      </w:r>
      <w:proofErr w:type="spellStart"/>
      <w:proofErr w:type="gramStart"/>
      <w:r w:rsidRPr="00463CAF">
        <w:rPr>
          <w:rFonts w:ascii="Arial" w:eastAsia="Yu Gothic" w:hAnsi="Arial" w:cs="Arial"/>
          <w:kern w:val="2"/>
          <w:lang w:val="en-CA" w:eastAsia="en-US"/>
          <w14:ligatures w14:val="standardContextual"/>
        </w:rPr>
        <w:t>racisés</w:t>
      </w:r>
      <w:proofErr w:type="spellEnd"/>
      <w:r w:rsidRPr="00463CAF">
        <w:rPr>
          <w:rFonts w:ascii="Arial" w:eastAsia="Yu Gothic" w:hAnsi="Arial" w:cs="Arial"/>
          <w:kern w:val="2"/>
          <w:lang w:val="en-CA" w:eastAsia="en-US"/>
          <w14:ligatures w14:val="standardContextual"/>
        </w:rPr>
        <w:t>;</w:t>
      </w:r>
      <w:proofErr w:type="gramEnd"/>
      <w:r w:rsidRPr="00463CAF">
        <w:rPr>
          <w:rFonts w:ascii="Arial" w:eastAsia="Yu Gothic" w:hAnsi="Arial" w:cs="Arial"/>
          <w:kern w:val="2"/>
          <w:lang w:val="en-CA" w:eastAsia="en-US"/>
          <w14:ligatures w14:val="standardContextual"/>
        </w:rPr>
        <w:t xml:space="preserve"> </w:t>
      </w:r>
    </w:p>
    <w:p w14:paraId="634AC33C" w14:textId="77777777" w:rsidR="00463CAF" w:rsidRPr="00463CAF" w:rsidRDefault="00463CAF" w:rsidP="00463CAF">
      <w:pPr>
        <w:numPr>
          <w:ilvl w:val="2"/>
          <w:numId w:val="1"/>
        </w:numPr>
        <w:spacing w:line="240" w:lineRule="auto"/>
        <w:contextualSpacing/>
        <w:rPr>
          <w:rFonts w:ascii="Arial" w:eastAsia="Yu Gothic" w:hAnsi="Arial" w:cs="Arial"/>
          <w:kern w:val="2"/>
          <w:lang w:val="en-CA" w:eastAsia="en-US"/>
          <w14:ligatures w14:val="standardContextual"/>
        </w:rPr>
      </w:pPr>
      <w:r w:rsidRPr="00463CAF">
        <w:rPr>
          <w:rFonts w:ascii="Arial" w:eastAsia="Yu Gothic" w:hAnsi="Arial" w:cs="Arial"/>
          <w:kern w:val="2"/>
          <w:lang w:val="en-CA" w:eastAsia="en-US"/>
          <w14:ligatures w14:val="standardContextual"/>
        </w:rPr>
        <w:t>les jeunes 2ELGBTQI</w:t>
      </w:r>
      <w:proofErr w:type="gramStart"/>
      <w:r w:rsidRPr="00463CAF">
        <w:rPr>
          <w:rFonts w:ascii="Arial" w:eastAsia="Yu Gothic" w:hAnsi="Arial" w:cs="Arial"/>
          <w:kern w:val="2"/>
          <w:lang w:val="en-CA" w:eastAsia="en-US"/>
          <w14:ligatures w14:val="standardContextual"/>
        </w:rPr>
        <w:t>+;</w:t>
      </w:r>
      <w:proofErr w:type="gramEnd"/>
    </w:p>
    <w:p w14:paraId="4630C843" w14:textId="77777777" w:rsidR="00463CAF" w:rsidRPr="00463CAF" w:rsidRDefault="00463CAF" w:rsidP="00463CAF">
      <w:pPr>
        <w:numPr>
          <w:ilvl w:val="2"/>
          <w:numId w:val="1"/>
        </w:numPr>
        <w:spacing w:line="240" w:lineRule="auto"/>
        <w:contextualSpacing/>
        <w:rPr>
          <w:rFonts w:ascii="Arial" w:eastAsia="Yu Gothic" w:hAnsi="Arial" w:cs="Arial"/>
          <w:kern w:val="2"/>
          <w:lang w:val="fr-CA" w:eastAsia="en-US"/>
          <w14:ligatures w14:val="standardContextual"/>
        </w:rPr>
      </w:pPr>
      <w:proofErr w:type="gramStart"/>
      <w:r w:rsidRPr="00463CAF">
        <w:rPr>
          <w:rFonts w:ascii="Arial" w:eastAsia="Yu Gothic" w:hAnsi="Arial" w:cs="Arial"/>
          <w:kern w:val="2"/>
          <w:lang w:val="fr-CA" w:eastAsia="en-US"/>
          <w14:ligatures w14:val="standardContextual"/>
        </w:rPr>
        <w:t>les</w:t>
      </w:r>
      <w:proofErr w:type="gramEnd"/>
      <w:r w:rsidRPr="00463CAF">
        <w:rPr>
          <w:rFonts w:ascii="Arial" w:eastAsia="Yu Gothic" w:hAnsi="Arial" w:cs="Arial"/>
          <w:kern w:val="2"/>
          <w:lang w:val="fr-CA" w:eastAsia="en-US"/>
          <w14:ligatures w14:val="standardContextual"/>
        </w:rPr>
        <w:t xml:space="preserve"> jeunes en situation de handicap;</w:t>
      </w:r>
    </w:p>
    <w:p w14:paraId="587F88A8" w14:textId="77777777" w:rsidR="00463CAF" w:rsidRPr="00463CAF" w:rsidRDefault="00463CAF" w:rsidP="00463CAF">
      <w:pPr>
        <w:numPr>
          <w:ilvl w:val="2"/>
          <w:numId w:val="1"/>
        </w:numPr>
        <w:spacing w:line="240" w:lineRule="auto"/>
        <w:contextualSpacing/>
        <w:rPr>
          <w:rFonts w:ascii="Arial" w:eastAsia="Yu Gothic" w:hAnsi="Arial" w:cs="Arial"/>
          <w:kern w:val="2"/>
          <w:lang w:val="fr-CA" w:eastAsia="en-US"/>
          <w14:ligatures w14:val="standardContextual"/>
        </w:rPr>
      </w:pPr>
      <w:proofErr w:type="gramStart"/>
      <w:r w:rsidRPr="00463CAF">
        <w:rPr>
          <w:rFonts w:ascii="Arial" w:eastAsia="Yu Gothic" w:hAnsi="Arial" w:cs="Arial"/>
          <w:kern w:val="2"/>
          <w:lang w:val="fr-CA" w:eastAsia="en-US"/>
          <w14:ligatures w14:val="standardContextual"/>
        </w:rPr>
        <w:t>les</w:t>
      </w:r>
      <w:proofErr w:type="gramEnd"/>
      <w:r w:rsidRPr="00463CAF">
        <w:rPr>
          <w:rFonts w:ascii="Arial" w:eastAsia="Yu Gothic" w:hAnsi="Arial" w:cs="Arial"/>
          <w:kern w:val="2"/>
          <w:lang w:val="fr-CA" w:eastAsia="en-US"/>
          <w14:ligatures w14:val="standardContextual"/>
        </w:rPr>
        <w:t xml:space="preserve"> jeunes vivant dans les collectivités rurales, éloignées, nordiques et accessibles par avion ainsi que dans les communautés de langue officielle en situation minoritaire.</w:t>
      </w:r>
    </w:p>
    <w:p w14:paraId="2FAA7876" w14:textId="77777777" w:rsidR="00463CAF" w:rsidRPr="00463CAF" w:rsidRDefault="00463CAF" w:rsidP="00463CAF">
      <w:pPr>
        <w:spacing w:line="240" w:lineRule="auto"/>
        <w:ind w:left="2160"/>
        <w:contextualSpacing/>
        <w:rPr>
          <w:rFonts w:ascii="Arial" w:eastAsia="Yu Gothic" w:hAnsi="Arial" w:cs="Arial"/>
          <w:kern w:val="2"/>
          <w:lang w:val="fr-CA" w:eastAsia="en-US"/>
          <w14:ligatures w14:val="standardContextual"/>
        </w:rPr>
      </w:pPr>
    </w:p>
    <w:p w14:paraId="39DC2221" w14:textId="77777777" w:rsidR="00463CAF" w:rsidRPr="00463CAF" w:rsidRDefault="00463CAF" w:rsidP="00463CAF">
      <w:pPr>
        <w:spacing w:line="259" w:lineRule="auto"/>
        <w:ind w:left="1080"/>
        <w:contextualSpacing/>
        <w:rPr>
          <w:rFonts w:ascii="Arial" w:eastAsia="Aptos" w:hAnsi="Arial" w:cs="Arial"/>
          <w:kern w:val="2"/>
          <w:lang w:val="fr-CA" w:eastAsia="en-US"/>
          <w14:ligatures w14:val="standardContextual"/>
        </w:rPr>
      </w:pPr>
    </w:p>
    <w:p w14:paraId="4D162EF8" w14:textId="77777777" w:rsidR="00463CAF" w:rsidRPr="00463CAF" w:rsidRDefault="00463CAF" w:rsidP="00463CAF">
      <w:pPr>
        <w:numPr>
          <w:ilvl w:val="0"/>
          <w:numId w:val="2"/>
        </w:numPr>
        <w:spacing w:before="240" w:line="240" w:lineRule="auto"/>
        <w:contextualSpacing/>
        <w:rPr>
          <w:rFonts w:ascii="Arial" w:eastAsia="Yu Gothic" w:hAnsi="Arial" w:cs="Arial"/>
          <w:kern w:val="2"/>
          <w:lang w:val="fr-CA" w:eastAsia="en-CA"/>
          <w14:ligatures w14:val="standardContextual"/>
        </w:rPr>
      </w:pPr>
      <w:r w:rsidRPr="00463CAF">
        <w:rPr>
          <w:rFonts w:ascii="Arial" w:eastAsia="Yu Gothic" w:hAnsi="Arial" w:cs="Arial"/>
          <w:b/>
          <w:bCs/>
          <w:color w:val="000000"/>
          <w:kern w:val="2"/>
          <w:lang w:val="fr-CA" w:eastAsia="en-US"/>
          <w14:ligatures w14:val="standardContextual"/>
        </w:rPr>
        <w:t xml:space="preserve">Emplois d’été Canada (EEC) </w:t>
      </w:r>
      <w:r w:rsidRPr="00463CAF">
        <w:rPr>
          <w:rFonts w:ascii="Arial" w:eastAsia="Yu Gothic" w:hAnsi="Arial" w:cs="Arial"/>
          <w:color w:val="000000"/>
          <w:kern w:val="2"/>
          <w:lang w:val="fr-CA" w:eastAsia="en-US"/>
          <w14:ligatures w14:val="standardContextual"/>
        </w:rPr>
        <w:t xml:space="preserve">offre aux jeunes (âgés de 15 à 30 ans) la possibilité de perfectionner et d’améliorer leurs compétences grâce à des </w:t>
      </w:r>
      <w:proofErr w:type="gramStart"/>
      <w:r w:rsidRPr="00463CAF">
        <w:rPr>
          <w:rFonts w:ascii="Arial" w:eastAsia="Yu Gothic" w:hAnsi="Arial" w:cs="Arial"/>
          <w:color w:val="000000"/>
          <w:kern w:val="2"/>
          <w:lang w:val="fr-CA" w:eastAsia="en-US"/>
          <w14:ligatures w14:val="standardContextual"/>
        </w:rPr>
        <w:lastRenderedPageBreak/>
        <w:t>emplois</w:t>
      </w:r>
      <w:proofErr w:type="gramEnd"/>
      <w:r w:rsidRPr="00463CAF">
        <w:rPr>
          <w:rFonts w:ascii="Arial" w:eastAsia="Yu Gothic" w:hAnsi="Arial" w:cs="Arial"/>
          <w:color w:val="000000"/>
          <w:kern w:val="2"/>
          <w:lang w:val="fr-CA" w:eastAsia="en-US"/>
          <w14:ligatures w14:val="standardContextual"/>
        </w:rPr>
        <w:t xml:space="preserve"> de qualité au cours de l’été. Il soutient les organismes à but non lucratif, les employeurs du secteur public, ainsi que les employeurs du secteur privé comptant 50 employés ou moins travaillant à temps plein, afin qu’ils créent des </w:t>
      </w:r>
      <w:r w:rsidRPr="00463CAF">
        <w:rPr>
          <w:rFonts w:ascii="Arial" w:eastAsia="Yu Gothic" w:hAnsi="Arial" w:cs="Arial"/>
          <w:kern w:val="2"/>
          <w:lang w:val="fr-CA" w:eastAsia="en-CA"/>
          <w14:ligatures w14:val="standardContextual"/>
        </w:rPr>
        <w:t>occasions</w:t>
      </w:r>
      <w:r w:rsidRPr="00463CAF">
        <w:rPr>
          <w:rFonts w:ascii="Arial" w:eastAsia="Yu Gothic" w:hAnsi="Arial" w:cs="Arial"/>
          <w:color w:val="000000"/>
          <w:kern w:val="2"/>
          <w:lang w:val="fr-CA" w:eastAsia="en-US"/>
          <w14:ligatures w14:val="standardContextual"/>
        </w:rPr>
        <w:t xml:space="preserve"> d’emploi d’été de qualité pour les jeunes</w:t>
      </w:r>
    </w:p>
    <w:p w14:paraId="6714B7E8" w14:textId="77777777" w:rsidR="00463CAF" w:rsidRPr="00463CAF" w:rsidRDefault="00463CAF" w:rsidP="00463CAF">
      <w:pPr>
        <w:spacing w:before="240" w:line="240" w:lineRule="auto"/>
        <w:ind w:left="1080"/>
        <w:contextualSpacing/>
        <w:rPr>
          <w:rFonts w:ascii="Arial" w:eastAsia="Yu Gothic" w:hAnsi="Arial" w:cs="Arial"/>
          <w:kern w:val="2"/>
          <w:lang w:val="fr-CA" w:eastAsia="en-CA"/>
          <w14:ligatures w14:val="standardContextual"/>
        </w:rPr>
      </w:pPr>
    </w:p>
    <w:p w14:paraId="16012E57" w14:textId="2058BC6D" w:rsidR="009C7779" w:rsidRDefault="00463CAF" w:rsidP="00275CB1">
      <w:pPr>
        <w:spacing w:before="240" w:line="240" w:lineRule="auto"/>
        <w:ind w:left="1080"/>
        <w:contextualSpacing/>
        <w:rPr>
          <w:rFonts w:ascii="Arial" w:eastAsia="Yu Gothic" w:hAnsi="Arial" w:cs="Arial"/>
          <w:kern w:val="2"/>
          <w:lang w:val="fr-CA" w:eastAsia="en-CA"/>
          <w14:ligatures w14:val="standardContextual"/>
        </w:rPr>
      </w:pPr>
      <w:r w:rsidRPr="00463CAF">
        <w:rPr>
          <w:rFonts w:ascii="Arial" w:eastAsia="Yu Gothic" w:hAnsi="Arial" w:cs="Arial"/>
          <w:color w:val="000000"/>
          <w:kern w:val="2"/>
          <w:lang w:val="fr-CA" w:eastAsia="en-US"/>
          <w14:ligatures w14:val="standardContextual"/>
        </w:rPr>
        <w:t>Certains pourront vivre leur première expérience professionnelle dans le cadre du programme, ce qui leur permettra d’orienter les choix qu’ils feront dans l’avenir en matière d’éducation, de formation et de carrière. Le programme répond aux priorités nationales et locales, ainsi qu’aux besoins du marché du travail</w:t>
      </w:r>
      <w:r w:rsidRPr="00463CAF">
        <w:rPr>
          <w:rFonts w:ascii="Arial" w:eastAsia="Yu Gothic" w:hAnsi="Arial" w:cs="Arial"/>
          <w:kern w:val="2"/>
          <w:lang w:val="fr-CA" w:eastAsia="en-CA"/>
          <w14:ligatures w14:val="standardContextual"/>
        </w:rPr>
        <w:t>.</w:t>
      </w:r>
    </w:p>
    <w:p w14:paraId="158FCBE5" w14:textId="77777777" w:rsidR="00CD34D0" w:rsidRDefault="00CD34D0" w:rsidP="00CD34D0">
      <w:pPr>
        <w:spacing w:before="240" w:line="240" w:lineRule="auto"/>
        <w:contextualSpacing/>
        <w:rPr>
          <w:rFonts w:ascii="Arial" w:eastAsia="Yu Gothic" w:hAnsi="Arial" w:cs="Arial"/>
          <w:kern w:val="2"/>
          <w:lang w:val="fr-CA" w:eastAsia="en-CA"/>
          <w14:ligatures w14:val="standardContextual"/>
        </w:rPr>
      </w:pPr>
    </w:p>
    <w:p w14:paraId="46556875" w14:textId="77777777" w:rsidR="007A49BD" w:rsidRDefault="007A49BD">
      <w:pPr>
        <w:rPr>
          <w:rFonts w:ascii="Arial" w:eastAsia="Yu Gothic" w:hAnsi="Arial" w:cs="Arial"/>
          <w:kern w:val="2"/>
          <w:lang w:val="fr-CA" w:eastAsia="en-CA"/>
          <w14:ligatures w14:val="standardContextual"/>
        </w:rPr>
      </w:pPr>
      <w:r>
        <w:rPr>
          <w:rFonts w:ascii="Arial" w:eastAsia="Yu Gothic" w:hAnsi="Arial" w:cs="Arial"/>
          <w:kern w:val="2"/>
          <w:lang w:val="fr-CA" w:eastAsia="en-CA"/>
          <w14:ligatures w14:val="standardContextual"/>
        </w:rPr>
        <w:br w:type="page"/>
      </w:r>
    </w:p>
    <w:p w14:paraId="5EF7E7D1" w14:textId="0D2E5A93" w:rsidR="00CD34D0" w:rsidRDefault="00CD34D0" w:rsidP="00CD34D0">
      <w:pPr>
        <w:spacing w:before="240" w:line="240" w:lineRule="auto"/>
        <w:contextualSpacing/>
        <w:rPr>
          <w:rFonts w:ascii="Arial" w:eastAsia="Yu Gothic" w:hAnsi="Arial" w:cs="Arial"/>
          <w:kern w:val="2"/>
          <w:lang w:val="fr-CA" w:eastAsia="en-CA"/>
          <w14:ligatures w14:val="standardContextual"/>
        </w:rPr>
      </w:pPr>
      <w:r>
        <w:rPr>
          <w:rFonts w:ascii="Arial" w:eastAsia="Yu Gothic" w:hAnsi="Arial" w:cs="Arial"/>
          <w:kern w:val="2"/>
          <w:lang w:val="fr-CA" w:eastAsia="en-CA"/>
          <w14:ligatures w14:val="standardContextual"/>
        </w:rPr>
        <w:lastRenderedPageBreak/>
        <w:t xml:space="preserve">Annexe </w:t>
      </w:r>
    </w:p>
    <w:p w14:paraId="53E71F00" w14:textId="299BA30F" w:rsidR="00CD34D0" w:rsidRDefault="007A49BD" w:rsidP="00CD34D0">
      <w:pPr>
        <w:spacing w:before="240" w:line="240" w:lineRule="auto"/>
        <w:contextualSpacing/>
        <w:rPr>
          <w:rFonts w:ascii="Arial" w:eastAsia="Yu Gothic" w:hAnsi="Arial" w:cs="Arial"/>
          <w:kern w:val="2"/>
          <w:lang w:val="fr-CA" w:eastAsia="en-CA"/>
          <w14:ligatures w14:val="standardContextual"/>
        </w:rPr>
      </w:pPr>
      <w:r w:rsidRPr="007A49BD">
        <w:rPr>
          <w:rFonts w:ascii="Arial" w:eastAsia="Yu Gothic" w:hAnsi="Arial" w:cs="Arial"/>
          <w:kern w:val="2"/>
          <w:lang w:val="fr-CA" w:eastAsia="en-CA"/>
          <w14:ligatures w14:val="standardContextual"/>
        </w:rPr>
        <w:t>La Stratégie emploi et compétences jeunesse</w:t>
      </w:r>
    </w:p>
    <w:p w14:paraId="48508D61" w14:textId="138EED02" w:rsidR="007A49BD" w:rsidRDefault="006C2FED" w:rsidP="006C2FED">
      <w:pPr>
        <w:pStyle w:val="ListParagraph"/>
        <w:numPr>
          <w:ilvl w:val="0"/>
          <w:numId w:val="7"/>
        </w:numPr>
        <w:spacing w:before="240" w:line="240" w:lineRule="auto"/>
        <w:rPr>
          <w:rFonts w:ascii="Arial" w:eastAsia="Yu Gothic" w:hAnsi="Arial" w:cs="Arial"/>
          <w:kern w:val="2"/>
          <w:lang w:val="fr-CA" w:eastAsia="en-CA"/>
          <w14:ligatures w14:val="standardContextual"/>
        </w:rPr>
      </w:pPr>
      <w:r w:rsidRPr="006C2FED">
        <w:rPr>
          <w:rFonts w:ascii="Arial" w:eastAsia="Yu Gothic" w:hAnsi="Arial" w:cs="Arial"/>
          <w:kern w:val="2"/>
          <w:lang w:val="fr-CA" w:eastAsia="en-CA"/>
          <w14:ligatures w14:val="standardContextual"/>
        </w:rPr>
        <w:t>La Stratégie sur l'emploi et les compétences des jeunes (SECJ) vise à aider les jeunes qui font face à des obstacles à l'emploi à réussir sur le marché du travail en trouvant et en conservant des emplois de qualité. Les groupes prioritaires comprennent les populations souvent sous-représentées sur le marché du travail, notamment les jeunes issus des communautés de langue officielle en situation minoritaire (CLOSM). La SECJ soutient les mesures positives qui favorisent l'égalité du statut et de l'usage du français et de l'anglais en matière d'aide à l'emploi des jeunes.</w:t>
      </w:r>
    </w:p>
    <w:p w14:paraId="3AEE260D" w14:textId="2AABD6E7" w:rsidR="00B578A6" w:rsidRDefault="00B578A6" w:rsidP="006C2FED">
      <w:pPr>
        <w:pStyle w:val="ListParagraph"/>
        <w:numPr>
          <w:ilvl w:val="0"/>
          <w:numId w:val="7"/>
        </w:numPr>
        <w:spacing w:before="240" w:line="240" w:lineRule="auto"/>
        <w:rPr>
          <w:rFonts w:ascii="Arial" w:eastAsia="Yu Gothic" w:hAnsi="Arial" w:cs="Arial"/>
          <w:kern w:val="2"/>
          <w:lang w:val="fr-CA" w:eastAsia="en-CA"/>
          <w14:ligatures w14:val="standardContextual"/>
        </w:rPr>
      </w:pPr>
      <w:r w:rsidRPr="00B578A6">
        <w:rPr>
          <w:rFonts w:ascii="Arial" w:eastAsia="Yu Gothic" w:hAnsi="Arial" w:cs="Arial"/>
          <w:kern w:val="2"/>
          <w:lang w:val="fr-CA" w:eastAsia="en-CA"/>
          <w14:ligatures w14:val="standardContextual"/>
        </w:rPr>
        <w:t xml:space="preserve">Dans le cadre de cette stratégie, </w:t>
      </w:r>
      <w:r>
        <w:rPr>
          <w:rFonts w:ascii="Arial" w:eastAsia="Yu Gothic" w:hAnsi="Arial" w:cs="Arial"/>
          <w:kern w:val="2"/>
          <w:lang w:val="fr-CA" w:eastAsia="en-CA"/>
          <w14:ligatures w14:val="standardContextual"/>
        </w:rPr>
        <w:t>EDSC</w:t>
      </w:r>
      <w:r w:rsidRPr="00B578A6">
        <w:rPr>
          <w:rFonts w:ascii="Arial" w:eastAsia="Yu Gothic" w:hAnsi="Arial" w:cs="Arial"/>
          <w:kern w:val="2"/>
          <w:lang w:val="fr-CA" w:eastAsia="en-CA"/>
          <w14:ligatures w14:val="standardContextual"/>
        </w:rPr>
        <w:t xml:space="preserve"> dispose de deux programmes : Emplois d'été Canada et le Programme de la stratégie emploi et compétences jeunesse. Ces deux programmes identifient les jeunes des CLOSM comme groupes prioritaires.</w:t>
      </w:r>
    </w:p>
    <w:p w14:paraId="466EEF92" w14:textId="6B0CF578" w:rsidR="00B578A6" w:rsidRDefault="003B3BB0" w:rsidP="00B578A6">
      <w:pPr>
        <w:spacing w:before="240" w:line="240" w:lineRule="auto"/>
        <w:rPr>
          <w:rFonts w:ascii="Arial" w:eastAsia="Yu Gothic" w:hAnsi="Arial" w:cs="Arial"/>
          <w:kern w:val="2"/>
          <w:lang w:val="fr-CA" w:eastAsia="en-CA"/>
          <w14:ligatures w14:val="standardContextual"/>
        </w:rPr>
      </w:pPr>
      <w:r w:rsidRPr="003B3BB0">
        <w:rPr>
          <w:rFonts w:ascii="Arial" w:eastAsia="Yu Gothic" w:hAnsi="Arial" w:cs="Arial"/>
          <w:kern w:val="2"/>
          <w:lang w:val="fr-CA" w:eastAsia="en-CA"/>
          <w14:ligatures w14:val="standardContextual"/>
        </w:rPr>
        <w:t xml:space="preserve">Comment le programme </w:t>
      </w:r>
      <w:r w:rsidR="0045764F">
        <w:rPr>
          <w:rFonts w:ascii="Arial" w:eastAsia="Yu Gothic" w:hAnsi="Arial" w:cs="Arial"/>
          <w:kern w:val="2"/>
          <w:lang w:val="fr-CA" w:eastAsia="en-CA"/>
          <w14:ligatures w14:val="standardContextual"/>
        </w:rPr>
        <w:t>SECJ</w:t>
      </w:r>
      <w:r w:rsidRPr="003B3BB0">
        <w:rPr>
          <w:rFonts w:ascii="Arial" w:eastAsia="Yu Gothic" w:hAnsi="Arial" w:cs="Arial"/>
          <w:kern w:val="2"/>
          <w:lang w:val="fr-CA" w:eastAsia="en-CA"/>
          <w14:ligatures w14:val="standardContextual"/>
        </w:rPr>
        <w:t xml:space="preserve"> soutient-il les jeunes des CLOSM dans l'ensemble de nos programmes ?</w:t>
      </w:r>
    </w:p>
    <w:p w14:paraId="3DF9FBBD" w14:textId="4069A6B4" w:rsidR="003B3BB0" w:rsidRDefault="0045764F" w:rsidP="003B3BB0">
      <w:pPr>
        <w:pStyle w:val="ListParagraph"/>
        <w:numPr>
          <w:ilvl w:val="0"/>
          <w:numId w:val="8"/>
        </w:numPr>
        <w:spacing w:before="240" w:line="240" w:lineRule="auto"/>
        <w:rPr>
          <w:rFonts w:ascii="Arial" w:eastAsia="Yu Gothic" w:hAnsi="Arial" w:cs="Arial"/>
          <w:kern w:val="2"/>
          <w:lang w:val="fr-CA" w:eastAsia="en-CA"/>
          <w14:ligatures w14:val="standardContextual"/>
        </w:rPr>
      </w:pPr>
      <w:r w:rsidRPr="0045764F">
        <w:rPr>
          <w:rFonts w:ascii="Arial" w:eastAsia="Yu Gothic" w:hAnsi="Arial" w:cs="Arial"/>
          <w:kern w:val="2"/>
          <w:lang w:val="fr-CA" w:eastAsia="en-CA"/>
          <w14:ligatures w14:val="standardContextual"/>
        </w:rPr>
        <w:t xml:space="preserve">Les programmes </w:t>
      </w:r>
      <w:r>
        <w:rPr>
          <w:rFonts w:ascii="Arial" w:eastAsia="Yu Gothic" w:hAnsi="Arial" w:cs="Arial"/>
          <w:kern w:val="2"/>
          <w:lang w:val="fr-CA" w:eastAsia="en-CA"/>
          <w14:ligatures w14:val="standardContextual"/>
        </w:rPr>
        <w:t>SECJ</w:t>
      </w:r>
      <w:r w:rsidRPr="0045764F">
        <w:rPr>
          <w:rFonts w:ascii="Arial" w:eastAsia="Yu Gothic" w:hAnsi="Arial" w:cs="Arial"/>
          <w:kern w:val="2"/>
          <w:lang w:val="fr-CA" w:eastAsia="en-CA"/>
          <w14:ligatures w14:val="standardContextual"/>
        </w:rPr>
        <w:t xml:space="preserve"> contribuent à promouvoir l'utilisation de l'anglais et du français dans la société canadienne. Le programme </w:t>
      </w:r>
      <w:r>
        <w:rPr>
          <w:rFonts w:ascii="Arial" w:eastAsia="Yu Gothic" w:hAnsi="Arial" w:cs="Arial"/>
          <w:kern w:val="2"/>
          <w:lang w:val="fr-CA" w:eastAsia="en-CA"/>
          <w14:ligatures w14:val="standardContextual"/>
        </w:rPr>
        <w:t>SECJ</w:t>
      </w:r>
      <w:r w:rsidRPr="0045764F">
        <w:rPr>
          <w:rFonts w:ascii="Arial" w:eastAsia="Yu Gothic" w:hAnsi="Arial" w:cs="Arial"/>
          <w:kern w:val="2"/>
          <w:lang w:val="fr-CA" w:eastAsia="en-CA"/>
          <w14:ligatures w14:val="standardContextual"/>
        </w:rPr>
        <w:t xml:space="preserve"> et Emplois d'été Canada comptent parmi leurs priorités les jeunes qui font partie des CLOSM.  </w:t>
      </w:r>
    </w:p>
    <w:p w14:paraId="7F31D429" w14:textId="75B8F31F" w:rsidR="0045764F" w:rsidRDefault="0045764F" w:rsidP="0045764F">
      <w:pPr>
        <w:spacing w:before="240" w:line="240" w:lineRule="auto"/>
        <w:contextualSpacing/>
        <w:rPr>
          <w:rFonts w:ascii="Arial" w:eastAsia="Yu Gothic" w:hAnsi="Arial" w:cs="Arial"/>
          <w:kern w:val="2"/>
          <w:lang w:val="fr-CA" w:eastAsia="en-CA"/>
          <w14:ligatures w14:val="standardContextual"/>
        </w:rPr>
      </w:pPr>
      <w:r w:rsidRPr="007A49BD">
        <w:rPr>
          <w:rFonts w:ascii="Arial" w:eastAsia="Yu Gothic" w:hAnsi="Arial" w:cs="Arial"/>
          <w:kern w:val="2"/>
          <w:lang w:val="fr-CA" w:eastAsia="en-CA"/>
          <w14:ligatures w14:val="standardContextual"/>
        </w:rPr>
        <w:t>L</w:t>
      </w:r>
      <w:r w:rsidR="007675A5">
        <w:rPr>
          <w:rFonts w:ascii="Arial" w:eastAsia="Yu Gothic" w:hAnsi="Arial" w:cs="Arial"/>
          <w:kern w:val="2"/>
          <w:lang w:val="fr-CA" w:eastAsia="en-CA"/>
          <w14:ligatures w14:val="standardContextual"/>
        </w:rPr>
        <w:t>e</w:t>
      </w:r>
      <w:r w:rsidRPr="007A49BD">
        <w:rPr>
          <w:rFonts w:ascii="Arial" w:eastAsia="Yu Gothic" w:hAnsi="Arial" w:cs="Arial"/>
          <w:kern w:val="2"/>
          <w:lang w:val="fr-CA" w:eastAsia="en-CA"/>
          <w14:ligatures w14:val="standardContextual"/>
        </w:rPr>
        <w:t xml:space="preserve"> </w:t>
      </w:r>
      <w:r>
        <w:rPr>
          <w:rFonts w:ascii="Arial" w:eastAsia="Yu Gothic" w:hAnsi="Arial" w:cs="Arial"/>
          <w:kern w:val="2"/>
          <w:lang w:val="fr-CA" w:eastAsia="en-CA"/>
          <w14:ligatures w14:val="standardContextual"/>
        </w:rPr>
        <w:t xml:space="preserve">programme </w:t>
      </w:r>
      <w:r w:rsidRPr="007A49BD">
        <w:rPr>
          <w:rFonts w:ascii="Arial" w:eastAsia="Yu Gothic" w:hAnsi="Arial" w:cs="Arial"/>
          <w:kern w:val="2"/>
          <w:lang w:val="fr-CA" w:eastAsia="en-CA"/>
          <w14:ligatures w14:val="standardContextual"/>
        </w:rPr>
        <w:t>Stratégie emploi et compétences jeunesse</w:t>
      </w:r>
    </w:p>
    <w:p w14:paraId="4B920670" w14:textId="308CFDFC" w:rsidR="0045764F" w:rsidRDefault="007675A5" w:rsidP="007675A5">
      <w:pPr>
        <w:pStyle w:val="ListParagraph"/>
        <w:numPr>
          <w:ilvl w:val="0"/>
          <w:numId w:val="8"/>
        </w:numPr>
        <w:spacing w:before="240" w:line="240" w:lineRule="auto"/>
        <w:rPr>
          <w:rFonts w:ascii="Arial" w:eastAsia="Yu Gothic" w:hAnsi="Arial" w:cs="Arial"/>
          <w:kern w:val="2"/>
          <w:lang w:val="fr-CA" w:eastAsia="en-CA"/>
          <w14:ligatures w14:val="standardContextual"/>
        </w:rPr>
      </w:pPr>
      <w:r w:rsidRPr="007675A5">
        <w:rPr>
          <w:rFonts w:ascii="Arial" w:eastAsia="Yu Gothic" w:hAnsi="Arial" w:cs="Arial"/>
          <w:kern w:val="2"/>
          <w:lang w:val="fr-CA" w:eastAsia="en-CA"/>
          <w14:ligatures w14:val="standardContextual"/>
        </w:rPr>
        <w:t xml:space="preserve">Le programme </w:t>
      </w:r>
      <w:r>
        <w:rPr>
          <w:rFonts w:ascii="Arial" w:eastAsia="Yu Gothic" w:hAnsi="Arial" w:cs="Arial"/>
          <w:kern w:val="2"/>
          <w:lang w:val="fr-CA" w:eastAsia="en-CA"/>
          <w14:ligatures w14:val="standardContextual"/>
        </w:rPr>
        <w:t>SECJ</w:t>
      </w:r>
      <w:r w:rsidRPr="007675A5">
        <w:rPr>
          <w:rFonts w:ascii="Arial" w:eastAsia="Yu Gothic" w:hAnsi="Arial" w:cs="Arial"/>
          <w:kern w:val="2"/>
          <w:lang w:val="fr-CA" w:eastAsia="en-CA"/>
          <w14:ligatures w14:val="standardContextual"/>
        </w:rPr>
        <w:t xml:space="preserve"> soutient le renforcement de la vitalité des CLOSM en finançant des projets qui aident les jeunes des CLOSM à accéder à des programmes de formation et d'emploi. Les projets sont mis en œuvre par des organismes, notamment des prestataires de services d'emploi, qui aident les jeunes des CLOSM à acquérir les compétences, les outils, les informations ou l'expérience professionnelle nécessaires pour entrer sur le marché du travail ou reprendre leurs études.  </w:t>
      </w:r>
    </w:p>
    <w:p w14:paraId="52A6C561" w14:textId="156DA7EF" w:rsidR="007675A5" w:rsidRDefault="000D03CA" w:rsidP="007675A5">
      <w:pPr>
        <w:pStyle w:val="ListParagraph"/>
        <w:numPr>
          <w:ilvl w:val="0"/>
          <w:numId w:val="8"/>
        </w:numPr>
        <w:spacing w:before="240" w:line="240" w:lineRule="auto"/>
        <w:rPr>
          <w:rFonts w:ascii="Arial" w:eastAsia="Yu Gothic" w:hAnsi="Arial" w:cs="Arial"/>
          <w:kern w:val="2"/>
          <w:lang w:val="fr-CA" w:eastAsia="en-CA"/>
          <w14:ligatures w14:val="standardContextual"/>
        </w:rPr>
      </w:pPr>
      <w:r w:rsidRPr="000D03CA">
        <w:rPr>
          <w:rFonts w:ascii="Arial" w:eastAsia="Yu Gothic" w:hAnsi="Arial" w:cs="Arial"/>
          <w:kern w:val="2"/>
          <w:lang w:val="fr-CA" w:eastAsia="en-CA"/>
          <w14:ligatures w14:val="standardContextual"/>
        </w:rPr>
        <w:t>L'Entente de contribution Canada-Québec à l'appui de la Stratégie emploi et compétences jeunesse (disponible en français) couvrant la période de 2020-2021 à 2024-2025 reconnaît que le Québec continuera d'offrir une approche personnalisée aux jeunes, y compris à la communauté anglophone, dans la prestation des mesures et des services d'emploi. En plus de la clause existante, une nouvelle clause a été ajoutée au préambule de l'accord couvrant la période de 2025-2026 à 2029-2030 afin de reconnaître le rôle du Secrétariat aux relations avec les Québécois d'expression anglaise dans la prise en compte des préoccupations des Québécois anglophones dans les politiques et les décisions gouvernementales, ainsi que dans l'accès aux programmes gouvernementaux et à leurs applications. </w:t>
      </w:r>
    </w:p>
    <w:p w14:paraId="71CFC4B3" w14:textId="580B4E06" w:rsidR="006424BC" w:rsidRDefault="006424BC" w:rsidP="007675A5">
      <w:pPr>
        <w:pStyle w:val="ListParagraph"/>
        <w:numPr>
          <w:ilvl w:val="0"/>
          <w:numId w:val="8"/>
        </w:numPr>
        <w:spacing w:before="240" w:line="240" w:lineRule="auto"/>
        <w:rPr>
          <w:rFonts w:ascii="Arial" w:eastAsia="Yu Gothic" w:hAnsi="Arial" w:cs="Arial"/>
          <w:kern w:val="2"/>
          <w:lang w:val="fr-CA" w:eastAsia="en-CA"/>
          <w14:ligatures w14:val="standardContextual"/>
        </w:rPr>
      </w:pPr>
      <w:r w:rsidRPr="006424BC">
        <w:rPr>
          <w:rFonts w:ascii="Arial" w:eastAsia="Yu Gothic" w:hAnsi="Arial" w:cs="Arial"/>
          <w:kern w:val="2"/>
          <w:lang w:val="fr-CA" w:eastAsia="en-CA"/>
          <w14:ligatures w14:val="standardContextual"/>
        </w:rPr>
        <w:t xml:space="preserve">Dans le cadre du dernier appel à propositions </w:t>
      </w:r>
      <w:r>
        <w:rPr>
          <w:rFonts w:ascii="Arial" w:eastAsia="Yu Gothic" w:hAnsi="Arial" w:cs="Arial"/>
          <w:kern w:val="2"/>
          <w:lang w:val="fr-CA" w:eastAsia="en-CA"/>
          <w14:ligatures w14:val="standardContextual"/>
        </w:rPr>
        <w:t>SECJ</w:t>
      </w:r>
      <w:r w:rsidRPr="006424BC">
        <w:rPr>
          <w:rFonts w:ascii="Arial" w:eastAsia="Yu Gothic" w:hAnsi="Arial" w:cs="Arial"/>
          <w:kern w:val="2"/>
          <w:lang w:val="fr-CA" w:eastAsia="en-CA"/>
          <w14:ligatures w14:val="standardContextual"/>
        </w:rPr>
        <w:t xml:space="preserve"> 2023 d'Emploi et Développement social Canada (EDSC), 42 organisations qui ont reçu un financement ont indiqué qu'elles soutiendraient environ 1 200 jeunes s'identifiant </w:t>
      </w:r>
      <w:r w:rsidRPr="006424BC">
        <w:rPr>
          <w:rFonts w:ascii="Arial" w:eastAsia="Yu Gothic" w:hAnsi="Arial" w:cs="Arial"/>
          <w:kern w:val="2"/>
          <w:lang w:val="fr-CA" w:eastAsia="en-CA"/>
          <w14:ligatures w14:val="standardContextual"/>
        </w:rPr>
        <w:lastRenderedPageBreak/>
        <w:t>comme membres des CLOSM entre 2024-2025 et 2027-2028. Parmi ces 42 organisations, six se concentrent spécifiquement sur les CLOSM.</w:t>
      </w:r>
    </w:p>
    <w:p w14:paraId="4B971CBD" w14:textId="5CC53357" w:rsidR="008B54F8" w:rsidRDefault="008B54F8" w:rsidP="007675A5">
      <w:pPr>
        <w:pStyle w:val="ListParagraph"/>
        <w:numPr>
          <w:ilvl w:val="0"/>
          <w:numId w:val="8"/>
        </w:numPr>
        <w:spacing w:before="240" w:line="240" w:lineRule="auto"/>
        <w:rPr>
          <w:rFonts w:ascii="Arial" w:eastAsia="Yu Gothic" w:hAnsi="Arial" w:cs="Arial"/>
          <w:kern w:val="2"/>
          <w:lang w:val="fr-CA" w:eastAsia="en-CA"/>
          <w14:ligatures w14:val="standardContextual"/>
        </w:rPr>
      </w:pPr>
      <w:r w:rsidRPr="008B54F8">
        <w:rPr>
          <w:rFonts w:ascii="Arial" w:eastAsia="Yu Gothic" w:hAnsi="Arial" w:cs="Arial"/>
          <w:kern w:val="2"/>
          <w:lang w:val="fr-CA" w:eastAsia="en-CA"/>
          <w14:ligatures w14:val="standardContextual"/>
        </w:rPr>
        <w:t xml:space="preserve">Il est difficile de trouver des données démographiques et des statistiques directes sur les jeunes des CLOSM, en particulier dans chaque province et territoire, mais le programme </w:t>
      </w:r>
      <w:r>
        <w:rPr>
          <w:rFonts w:ascii="Arial" w:eastAsia="Yu Gothic" w:hAnsi="Arial" w:cs="Arial"/>
          <w:kern w:val="2"/>
          <w:lang w:val="fr-CA" w:eastAsia="en-CA"/>
          <w14:ligatures w14:val="standardContextual"/>
        </w:rPr>
        <w:t>SECJ</w:t>
      </w:r>
      <w:r w:rsidRPr="008B54F8">
        <w:rPr>
          <w:rFonts w:ascii="Arial" w:eastAsia="Yu Gothic" w:hAnsi="Arial" w:cs="Arial"/>
          <w:kern w:val="2"/>
          <w:lang w:val="fr-CA" w:eastAsia="en-CA"/>
          <w14:ligatures w14:val="standardContextual"/>
        </w:rPr>
        <w:t xml:space="preserve"> estime indirectement le taux national des CLOSM à 4,0 % en additionnant simplement la population francophone hors Québec et la population </w:t>
      </w:r>
      <w:r w:rsidR="00B11E38">
        <w:rPr>
          <w:rFonts w:ascii="Arial" w:eastAsia="Yu Gothic" w:hAnsi="Arial" w:cs="Arial"/>
          <w:kern w:val="2"/>
          <w:lang w:val="fr-CA" w:eastAsia="en-CA"/>
          <w14:ligatures w14:val="standardContextual"/>
        </w:rPr>
        <w:t>d’expression anglaise</w:t>
      </w:r>
      <w:r w:rsidRPr="008B54F8">
        <w:rPr>
          <w:rFonts w:ascii="Arial" w:eastAsia="Yu Gothic" w:hAnsi="Arial" w:cs="Arial"/>
          <w:kern w:val="2"/>
          <w:lang w:val="fr-CA" w:eastAsia="en-CA"/>
          <w14:ligatures w14:val="standardContextual"/>
        </w:rPr>
        <w:t xml:space="preserve"> au Québec.</w:t>
      </w:r>
    </w:p>
    <w:p w14:paraId="54695448" w14:textId="4D3E8435" w:rsidR="00C177A1" w:rsidRPr="00C177A1" w:rsidRDefault="00C177A1" w:rsidP="00C177A1">
      <w:pPr>
        <w:spacing w:before="240" w:line="240" w:lineRule="auto"/>
        <w:rPr>
          <w:rFonts w:ascii="Arial" w:eastAsia="Yu Gothic" w:hAnsi="Arial" w:cs="Arial"/>
          <w:kern w:val="2"/>
          <w:lang w:val="fr-CA" w:eastAsia="en-CA"/>
          <w14:ligatures w14:val="standardContextual"/>
        </w:rPr>
      </w:pPr>
      <w:r w:rsidRPr="00C177A1">
        <w:rPr>
          <w:rFonts w:ascii="Arial" w:eastAsia="Yu Gothic" w:hAnsi="Arial" w:cs="Arial"/>
          <w:kern w:val="2"/>
          <w:lang w:val="fr-CA" w:eastAsia="en-CA"/>
          <w14:ligatures w14:val="standardContextual"/>
        </w:rPr>
        <w:t xml:space="preserve">Emplois d'été Canada </w:t>
      </w:r>
    </w:p>
    <w:p w14:paraId="27FDE136" w14:textId="67D342F8" w:rsidR="00C177A1" w:rsidRPr="00C177A1" w:rsidRDefault="00C177A1" w:rsidP="00C177A1">
      <w:pPr>
        <w:pStyle w:val="ListParagraph"/>
        <w:numPr>
          <w:ilvl w:val="0"/>
          <w:numId w:val="9"/>
        </w:numPr>
        <w:spacing w:before="240" w:line="240" w:lineRule="auto"/>
        <w:rPr>
          <w:rFonts w:ascii="Arial" w:eastAsia="Yu Gothic" w:hAnsi="Arial" w:cs="Arial"/>
          <w:kern w:val="2"/>
          <w:lang w:val="fr-CA" w:eastAsia="en-CA"/>
          <w14:ligatures w14:val="standardContextual"/>
        </w:rPr>
      </w:pPr>
      <w:r w:rsidRPr="00C177A1">
        <w:rPr>
          <w:rFonts w:ascii="Arial" w:eastAsia="Yu Gothic" w:hAnsi="Arial" w:cs="Arial"/>
          <w:kern w:val="2"/>
          <w:lang w:val="fr-CA" w:eastAsia="en-CA"/>
          <w14:ligatures w14:val="standardContextual"/>
        </w:rPr>
        <w:t xml:space="preserve">Pour Emplois d'été Canada 2024, 5,9 % (4 286) des jeunes admissibles se sont identifiés comme membres des CLOSM. Emplois d'été Canada a également identifié le soutien aux jeunes des CLOSM comme une priorité nationale en 2018, 2019, 2020, 2021, 2024 et 2025.  </w:t>
      </w:r>
    </w:p>
    <w:sectPr w:rsidR="00C177A1" w:rsidRPr="00C177A1">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ECF41" w14:textId="77777777" w:rsidR="0022123E" w:rsidRDefault="0022123E" w:rsidP="00676707">
      <w:pPr>
        <w:spacing w:after="0" w:line="240" w:lineRule="auto"/>
      </w:pPr>
      <w:r>
        <w:separator/>
      </w:r>
    </w:p>
  </w:endnote>
  <w:endnote w:type="continuationSeparator" w:id="0">
    <w:p w14:paraId="4EECF77F" w14:textId="77777777" w:rsidR="0022123E" w:rsidRDefault="0022123E" w:rsidP="00676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5583076"/>
      <w:docPartObj>
        <w:docPartGallery w:val="Page Numbers (Bottom of Page)"/>
        <w:docPartUnique/>
      </w:docPartObj>
    </w:sdtPr>
    <w:sdtEndPr>
      <w:rPr>
        <w:noProof/>
      </w:rPr>
    </w:sdtEndPr>
    <w:sdtContent>
      <w:p w14:paraId="14DF0C24" w14:textId="2BBF1D85" w:rsidR="00275CB1" w:rsidRDefault="00275CB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E070FFD" w14:textId="77777777" w:rsidR="00275CB1" w:rsidRDefault="00275C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4F9B58" w14:textId="77777777" w:rsidR="0022123E" w:rsidRDefault="0022123E" w:rsidP="00676707">
      <w:pPr>
        <w:spacing w:after="0" w:line="240" w:lineRule="auto"/>
      </w:pPr>
      <w:r>
        <w:separator/>
      </w:r>
    </w:p>
  </w:footnote>
  <w:footnote w:type="continuationSeparator" w:id="0">
    <w:p w14:paraId="71AB76A5" w14:textId="77777777" w:rsidR="0022123E" w:rsidRDefault="0022123E" w:rsidP="006767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FE039" w14:textId="40841C06" w:rsidR="00676707" w:rsidRDefault="00F57D05" w:rsidP="00F57D05">
    <w:pPr>
      <w:pStyle w:val="Header"/>
      <w:jc w:val="center"/>
      <w:rPr>
        <w:rFonts w:ascii="Arial" w:eastAsia="Yu Gothic" w:hAnsi="Arial" w:cs="Arial"/>
        <w:b/>
        <w:bCs/>
        <w:kern w:val="2"/>
        <w:lang w:val="fr-CA" w:eastAsia="en-US"/>
        <w14:ligatures w14:val="standardContextual"/>
      </w:rPr>
    </w:pPr>
    <w:r w:rsidRPr="00F57D05">
      <w:rPr>
        <w:rFonts w:ascii="Arial" w:eastAsia="Yu Gothic" w:hAnsi="Arial" w:cs="Arial"/>
        <w:b/>
        <w:bCs/>
        <w:kern w:val="2"/>
        <w:lang w:val="fr-CA" w:eastAsia="en-US"/>
        <w14:ligatures w14:val="standardContextual"/>
      </w:rPr>
      <w:t>Stratégie emploi et compétences jeunesse</w:t>
    </w:r>
    <w:r>
      <w:rPr>
        <w:rFonts w:ascii="Arial" w:eastAsia="Yu Gothic" w:hAnsi="Arial" w:cs="Arial"/>
        <w:b/>
        <w:bCs/>
        <w:kern w:val="2"/>
        <w:lang w:val="fr-CA" w:eastAsia="en-US"/>
        <w14:ligatures w14:val="standardContextual"/>
      </w:rPr>
      <w:t xml:space="preserve"> </w:t>
    </w:r>
  </w:p>
  <w:p w14:paraId="0B7FA9AF" w14:textId="0E035AD0" w:rsidR="00F57D05" w:rsidRPr="003B7640" w:rsidRDefault="00F57D05" w:rsidP="00F57D05">
    <w:pPr>
      <w:pStyle w:val="Header"/>
      <w:jc w:val="center"/>
      <w:rPr>
        <w:lang w:val="fr-CA"/>
      </w:rPr>
    </w:pPr>
    <w:r>
      <w:rPr>
        <w:rFonts w:ascii="Arial" w:eastAsia="Yu Gothic" w:hAnsi="Arial" w:cs="Arial"/>
        <w:b/>
        <w:bCs/>
        <w:kern w:val="2"/>
        <w:lang w:val="fr-CA" w:eastAsia="en-US"/>
        <w14:ligatures w14:val="standardContextual"/>
      </w:rPr>
      <w:t>Octobre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77499"/>
    <w:multiLevelType w:val="hybridMultilevel"/>
    <w:tmpl w:val="E67E2A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A546B90"/>
    <w:multiLevelType w:val="hybridMultilevel"/>
    <w:tmpl w:val="559A8D4C"/>
    <w:lvl w:ilvl="0" w:tplc="10090001">
      <w:start w:val="1"/>
      <w:numFmt w:val="bullet"/>
      <w:lvlText w:val=""/>
      <w:lvlJc w:val="left"/>
      <w:pPr>
        <w:ind w:left="720" w:hanging="360"/>
      </w:pPr>
      <w:rPr>
        <w:rFonts w:ascii="Symbol" w:hAnsi="Symbol" w:hint="default"/>
      </w:rPr>
    </w:lvl>
    <w:lvl w:ilvl="1" w:tplc="FFFFFFFF">
      <w:start w:val="1"/>
      <w:numFmt w:val="decimal"/>
      <w:lvlText w:val="%2."/>
      <w:lvlJc w:val="left"/>
      <w:pPr>
        <w:ind w:left="1440" w:hanging="360"/>
      </w:pPr>
    </w:lvl>
    <w:lvl w:ilvl="2" w:tplc="10090005">
      <w:start w:val="1"/>
      <w:numFmt w:val="bullet"/>
      <w:lvlText w:val=""/>
      <w:lvlJc w:val="left"/>
      <w:pPr>
        <w:ind w:left="2160" w:hanging="360"/>
      </w:pPr>
      <w:rPr>
        <w:rFonts w:ascii="Wingdings" w:hAnsi="Wingdings" w:hint="default"/>
      </w:rPr>
    </w:lvl>
    <w:lvl w:ilvl="3" w:tplc="CAC2F8DA">
      <w:start w:val="1"/>
      <w:numFmt w:val="lowerLetter"/>
      <w:lvlText w:val="%4)"/>
      <w:lvlJc w:val="left"/>
      <w:pPr>
        <w:ind w:left="2880" w:hanging="360"/>
      </w:pPr>
      <w:rPr>
        <w:rFonts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B1A1F33"/>
    <w:multiLevelType w:val="hybridMultilevel"/>
    <w:tmpl w:val="BB4CC6CC"/>
    <w:lvl w:ilvl="0" w:tplc="190E9664">
      <w:start w:val="1"/>
      <w:numFmt w:val="decimal"/>
      <w:lvlText w:val="%1."/>
      <w:lvlJc w:val="left"/>
      <w:pPr>
        <w:ind w:left="1080" w:hanging="360"/>
      </w:pPr>
      <w:rPr>
        <w:rFonts w:hint="default"/>
        <w:b w:val="0"/>
        <w:bCs/>
        <w:color w:val="000000" w:themeColor="text1"/>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C8E61E1"/>
    <w:multiLevelType w:val="hybridMultilevel"/>
    <w:tmpl w:val="9A82E9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381407B9"/>
    <w:multiLevelType w:val="hybridMultilevel"/>
    <w:tmpl w:val="40E02368"/>
    <w:lvl w:ilvl="0" w:tplc="D1BA781E">
      <w:start w:val="1"/>
      <w:numFmt w:val="bullet"/>
      <w:lvlText w:val=""/>
      <w:lvlJc w:val="left"/>
      <w:pPr>
        <w:ind w:left="720" w:hanging="360"/>
      </w:pPr>
      <w:rPr>
        <w:rFonts w:ascii="Symbol" w:hAnsi="Symbol" w:hint="default"/>
      </w:rPr>
    </w:lvl>
    <w:lvl w:ilvl="1" w:tplc="71869382">
      <w:start w:val="1"/>
      <w:numFmt w:val="bullet"/>
      <w:lvlText w:val="o"/>
      <w:lvlJc w:val="left"/>
      <w:pPr>
        <w:ind w:left="1440" w:hanging="360"/>
      </w:pPr>
      <w:rPr>
        <w:rFonts w:ascii="Courier New" w:hAnsi="Courier New" w:hint="default"/>
      </w:rPr>
    </w:lvl>
    <w:lvl w:ilvl="2" w:tplc="778A6158">
      <w:start w:val="1"/>
      <w:numFmt w:val="bullet"/>
      <w:lvlText w:val=""/>
      <w:lvlJc w:val="left"/>
      <w:pPr>
        <w:ind w:left="2160" w:hanging="360"/>
      </w:pPr>
      <w:rPr>
        <w:rFonts w:ascii="Wingdings" w:hAnsi="Wingdings" w:hint="default"/>
      </w:rPr>
    </w:lvl>
    <w:lvl w:ilvl="3" w:tplc="FCE0CDDA">
      <w:start w:val="1"/>
      <w:numFmt w:val="bullet"/>
      <w:lvlText w:val=""/>
      <w:lvlJc w:val="left"/>
      <w:pPr>
        <w:ind w:left="2880" w:hanging="360"/>
      </w:pPr>
      <w:rPr>
        <w:rFonts w:ascii="Symbol" w:hAnsi="Symbol" w:hint="default"/>
      </w:rPr>
    </w:lvl>
    <w:lvl w:ilvl="4" w:tplc="AA5E56DC">
      <w:start w:val="1"/>
      <w:numFmt w:val="bullet"/>
      <w:lvlText w:val="o"/>
      <w:lvlJc w:val="left"/>
      <w:pPr>
        <w:ind w:left="3600" w:hanging="360"/>
      </w:pPr>
      <w:rPr>
        <w:rFonts w:ascii="Courier New" w:hAnsi="Courier New" w:hint="default"/>
      </w:rPr>
    </w:lvl>
    <w:lvl w:ilvl="5" w:tplc="CC2C6A8A">
      <w:start w:val="1"/>
      <w:numFmt w:val="bullet"/>
      <w:lvlText w:val=""/>
      <w:lvlJc w:val="left"/>
      <w:pPr>
        <w:ind w:left="4320" w:hanging="360"/>
      </w:pPr>
      <w:rPr>
        <w:rFonts w:ascii="Wingdings" w:hAnsi="Wingdings" w:hint="default"/>
      </w:rPr>
    </w:lvl>
    <w:lvl w:ilvl="6" w:tplc="98020B9E">
      <w:start w:val="1"/>
      <w:numFmt w:val="bullet"/>
      <w:lvlText w:val=""/>
      <w:lvlJc w:val="left"/>
      <w:pPr>
        <w:ind w:left="5040" w:hanging="360"/>
      </w:pPr>
      <w:rPr>
        <w:rFonts w:ascii="Symbol" w:hAnsi="Symbol" w:hint="default"/>
      </w:rPr>
    </w:lvl>
    <w:lvl w:ilvl="7" w:tplc="2DA0B1E8">
      <w:start w:val="1"/>
      <w:numFmt w:val="bullet"/>
      <w:lvlText w:val="o"/>
      <w:lvlJc w:val="left"/>
      <w:pPr>
        <w:ind w:left="5760" w:hanging="360"/>
      </w:pPr>
      <w:rPr>
        <w:rFonts w:ascii="Courier New" w:hAnsi="Courier New" w:hint="default"/>
      </w:rPr>
    </w:lvl>
    <w:lvl w:ilvl="8" w:tplc="82F8DE74">
      <w:start w:val="1"/>
      <w:numFmt w:val="bullet"/>
      <w:lvlText w:val=""/>
      <w:lvlJc w:val="left"/>
      <w:pPr>
        <w:ind w:left="6480" w:hanging="360"/>
      </w:pPr>
      <w:rPr>
        <w:rFonts w:ascii="Wingdings" w:hAnsi="Wingdings" w:hint="default"/>
      </w:rPr>
    </w:lvl>
  </w:abstractNum>
  <w:abstractNum w:abstractNumId="5" w15:restartNumberingAfterBreak="0">
    <w:nsid w:val="4AB61CB8"/>
    <w:multiLevelType w:val="hybridMultilevel"/>
    <w:tmpl w:val="9AC29534"/>
    <w:lvl w:ilvl="0" w:tplc="5D109D8E">
      <w:start w:val="1"/>
      <w:numFmt w:val="bullet"/>
      <w:lvlText w:val=""/>
      <w:lvlJc w:val="left"/>
      <w:pPr>
        <w:ind w:left="720" w:hanging="360"/>
      </w:pPr>
      <w:rPr>
        <w:rFonts w:ascii="Symbol" w:hAnsi="Symbol" w:hint="default"/>
      </w:rPr>
    </w:lvl>
    <w:lvl w:ilvl="1" w:tplc="BD620E8A">
      <w:start w:val="1"/>
      <w:numFmt w:val="bullet"/>
      <w:lvlText w:val="o"/>
      <w:lvlJc w:val="left"/>
      <w:pPr>
        <w:ind w:left="1440" w:hanging="360"/>
      </w:pPr>
      <w:rPr>
        <w:rFonts w:ascii="Courier New" w:hAnsi="Courier New" w:hint="default"/>
      </w:rPr>
    </w:lvl>
    <w:lvl w:ilvl="2" w:tplc="1A5E057E">
      <w:start w:val="1"/>
      <w:numFmt w:val="bullet"/>
      <w:lvlText w:val=""/>
      <w:lvlJc w:val="left"/>
      <w:pPr>
        <w:ind w:left="2160" w:hanging="360"/>
      </w:pPr>
      <w:rPr>
        <w:rFonts w:ascii="Wingdings" w:hAnsi="Wingdings" w:hint="default"/>
      </w:rPr>
    </w:lvl>
    <w:lvl w:ilvl="3" w:tplc="F1CE067C">
      <w:start w:val="1"/>
      <w:numFmt w:val="bullet"/>
      <w:lvlText w:val=""/>
      <w:lvlJc w:val="left"/>
      <w:pPr>
        <w:ind w:left="2880" w:hanging="360"/>
      </w:pPr>
      <w:rPr>
        <w:rFonts w:ascii="Symbol" w:hAnsi="Symbol" w:hint="default"/>
      </w:rPr>
    </w:lvl>
    <w:lvl w:ilvl="4" w:tplc="18DC06FC">
      <w:start w:val="1"/>
      <w:numFmt w:val="bullet"/>
      <w:lvlText w:val="o"/>
      <w:lvlJc w:val="left"/>
      <w:pPr>
        <w:ind w:left="3600" w:hanging="360"/>
      </w:pPr>
      <w:rPr>
        <w:rFonts w:ascii="Courier New" w:hAnsi="Courier New" w:hint="default"/>
      </w:rPr>
    </w:lvl>
    <w:lvl w:ilvl="5" w:tplc="3F261D5C">
      <w:start w:val="1"/>
      <w:numFmt w:val="bullet"/>
      <w:lvlText w:val=""/>
      <w:lvlJc w:val="left"/>
      <w:pPr>
        <w:ind w:left="4320" w:hanging="360"/>
      </w:pPr>
      <w:rPr>
        <w:rFonts w:ascii="Wingdings" w:hAnsi="Wingdings" w:hint="default"/>
      </w:rPr>
    </w:lvl>
    <w:lvl w:ilvl="6" w:tplc="9A24F7D0">
      <w:start w:val="1"/>
      <w:numFmt w:val="bullet"/>
      <w:lvlText w:val=""/>
      <w:lvlJc w:val="left"/>
      <w:pPr>
        <w:ind w:left="5040" w:hanging="360"/>
      </w:pPr>
      <w:rPr>
        <w:rFonts w:ascii="Symbol" w:hAnsi="Symbol" w:hint="default"/>
      </w:rPr>
    </w:lvl>
    <w:lvl w:ilvl="7" w:tplc="96FE0792">
      <w:start w:val="1"/>
      <w:numFmt w:val="bullet"/>
      <w:lvlText w:val="o"/>
      <w:lvlJc w:val="left"/>
      <w:pPr>
        <w:ind w:left="5760" w:hanging="360"/>
      </w:pPr>
      <w:rPr>
        <w:rFonts w:ascii="Courier New" w:hAnsi="Courier New" w:hint="default"/>
      </w:rPr>
    </w:lvl>
    <w:lvl w:ilvl="8" w:tplc="D92063E4">
      <w:start w:val="1"/>
      <w:numFmt w:val="bullet"/>
      <w:lvlText w:val=""/>
      <w:lvlJc w:val="left"/>
      <w:pPr>
        <w:ind w:left="6480" w:hanging="360"/>
      </w:pPr>
      <w:rPr>
        <w:rFonts w:ascii="Wingdings" w:hAnsi="Wingdings" w:hint="default"/>
      </w:rPr>
    </w:lvl>
  </w:abstractNum>
  <w:abstractNum w:abstractNumId="6" w15:restartNumberingAfterBreak="0">
    <w:nsid w:val="53CE4A01"/>
    <w:multiLevelType w:val="hybridMultilevel"/>
    <w:tmpl w:val="380A69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6899794B"/>
    <w:multiLevelType w:val="hybridMultilevel"/>
    <w:tmpl w:val="EF8EA27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74DB4E9E"/>
    <w:multiLevelType w:val="hybridMultilevel"/>
    <w:tmpl w:val="88A22E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786583764">
    <w:abstractNumId w:val="1"/>
  </w:num>
  <w:num w:numId="2" w16cid:durableId="1899827691">
    <w:abstractNumId w:val="2"/>
  </w:num>
  <w:num w:numId="3" w16cid:durableId="1797063615">
    <w:abstractNumId w:val="4"/>
  </w:num>
  <w:num w:numId="4" w16cid:durableId="927348272">
    <w:abstractNumId w:val="5"/>
  </w:num>
  <w:num w:numId="5" w16cid:durableId="109328063">
    <w:abstractNumId w:val="0"/>
  </w:num>
  <w:num w:numId="6" w16cid:durableId="129785487">
    <w:abstractNumId w:val="7"/>
  </w:num>
  <w:num w:numId="7" w16cid:durableId="726488846">
    <w:abstractNumId w:val="8"/>
  </w:num>
  <w:num w:numId="8" w16cid:durableId="310717651">
    <w:abstractNumId w:val="6"/>
  </w:num>
  <w:num w:numId="9" w16cid:durableId="1061997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E8F3B32"/>
    <w:rsid w:val="000D03CA"/>
    <w:rsid w:val="00154E90"/>
    <w:rsid w:val="00183A0B"/>
    <w:rsid w:val="0022123E"/>
    <w:rsid w:val="00232A94"/>
    <w:rsid w:val="00275CB1"/>
    <w:rsid w:val="002B4EB7"/>
    <w:rsid w:val="003672AE"/>
    <w:rsid w:val="003B3BB0"/>
    <w:rsid w:val="003B7640"/>
    <w:rsid w:val="0045764F"/>
    <w:rsid w:val="00463CAF"/>
    <w:rsid w:val="0056271E"/>
    <w:rsid w:val="005E15E5"/>
    <w:rsid w:val="006424BC"/>
    <w:rsid w:val="00676707"/>
    <w:rsid w:val="006C2FED"/>
    <w:rsid w:val="00766D54"/>
    <w:rsid w:val="007675A5"/>
    <w:rsid w:val="007744DF"/>
    <w:rsid w:val="007A49BD"/>
    <w:rsid w:val="008B54F8"/>
    <w:rsid w:val="009C7779"/>
    <w:rsid w:val="00A13270"/>
    <w:rsid w:val="00A67C72"/>
    <w:rsid w:val="00A96648"/>
    <w:rsid w:val="00B11E38"/>
    <w:rsid w:val="00B53988"/>
    <w:rsid w:val="00B578A6"/>
    <w:rsid w:val="00B63429"/>
    <w:rsid w:val="00C177A1"/>
    <w:rsid w:val="00C55404"/>
    <w:rsid w:val="00C93EEB"/>
    <w:rsid w:val="00CD34D0"/>
    <w:rsid w:val="00CF3F2C"/>
    <w:rsid w:val="00DC14DE"/>
    <w:rsid w:val="00F57D05"/>
    <w:rsid w:val="0E8F3B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F3B32"/>
  <w15:chartTrackingRefBased/>
  <w15:docId w15:val="{B4F24384-30DA-44A2-B5A2-6090C84D0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67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6707"/>
  </w:style>
  <w:style w:type="paragraph" w:styleId="Footer">
    <w:name w:val="footer"/>
    <w:basedOn w:val="Normal"/>
    <w:link w:val="FooterChar"/>
    <w:uiPriority w:val="99"/>
    <w:unhideWhenUsed/>
    <w:rsid w:val="006767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6707"/>
  </w:style>
  <w:style w:type="character" w:styleId="CommentReference">
    <w:name w:val="annotation reference"/>
    <w:basedOn w:val="DefaultParagraphFont"/>
    <w:uiPriority w:val="99"/>
    <w:semiHidden/>
    <w:unhideWhenUsed/>
    <w:rsid w:val="00766D54"/>
    <w:rPr>
      <w:sz w:val="16"/>
      <w:szCs w:val="16"/>
    </w:rPr>
  </w:style>
  <w:style w:type="paragraph" w:styleId="CommentText">
    <w:name w:val="annotation text"/>
    <w:basedOn w:val="Normal"/>
    <w:link w:val="CommentTextChar"/>
    <w:uiPriority w:val="99"/>
    <w:unhideWhenUsed/>
    <w:rsid w:val="00766D54"/>
    <w:pPr>
      <w:spacing w:line="240" w:lineRule="auto"/>
    </w:pPr>
    <w:rPr>
      <w:sz w:val="20"/>
      <w:szCs w:val="20"/>
    </w:rPr>
  </w:style>
  <w:style w:type="character" w:customStyle="1" w:styleId="CommentTextChar">
    <w:name w:val="Comment Text Char"/>
    <w:basedOn w:val="DefaultParagraphFont"/>
    <w:link w:val="CommentText"/>
    <w:uiPriority w:val="99"/>
    <w:rsid w:val="00766D54"/>
    <w:rPr>
      <w:sz w:val="20"/>
      <w:szCs w:val="20"/>
    </w:rPr>
  </w:style>
  <w:style w:type="paragraph" w:styleId="CommentSubject">
    <w:name w:val="annotation subject"/>
    <w:basedOn w:val="CommentText"/>
    <w:next w:val="CommentText"/>
    <w:link w:val="CommentSubjectChar"/>
    <w:uiPriority w:val="99"/>
    <w:semiHidden/>
    <w:unhideWhenUsed/>
    <w:rsid w:val="00766D54"/>
    <w:rPr>
      <w:b/>
      <w:bCs/>
    </w:rPr>
  </w:style>
  <w:style w:type="character" w:customStyle="1" w:styleId="CommentSubjectChar">
    <w:name w:val="Comment Subject Char"/>
    <w:basedOn w:val="CommentTextChar"/>
    <w:link w:val="CommentSubject"/>
    <w:uiPriority w:val="99"/>
    <w:semiHidden/>
    <w:rsid w:val="00766D54"/>
    <w:rPr>
      <w:b/>
      <w:bCs/>
      <w:sz w:val="20"/>
      <w:szCs w:val="20"/>
    </w:rPr>
  </w:style>
  <w:style w:type="paragraph" w:styleId="ListParagraph">
    <w:name w:val="List Paragraph"/>
    <w:basedOn w:val="Normal"/>
    <w:uiPriority w:val="34"/>
    <w:qFormat/>
    <w:rsid w:val="00C554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4737b361-35a6-4908-86d4-6df482422a04">XPJTHXDMYTKC-1148532594-24203</_dlc_DocId>
    <Finalis_x00e9_ xmlns="bec98ab0-c939-49a1-bdf8-a824b6abe8d9">false</Finalis_x00e9_>
    <_dlc_DocIdUrl xmlns="4737b361-35a6-4908-86d4-6df482422a04">
      <Url>https://014gc.sharepoint.com/sites/LO_PartieVII-PartVII_OL/_layouts/15/DocIdRedir.aspx?ID=XPJTHXDMYTKC-1148532594-24203</Url>
      <Description>XPJTHXDMYTKC-1148532594-24203</Description>
    </_dlc_DocIdUrl>
    <EMail xmlns="http://schemas.microsoft.com/sharepoint/v3" xsi:nil="true"/>
    <TaxCatchAll xmlns="f76aaf80-9812-406c-9dd3-ccb851cf3a75" xsi:nil="true"/>
    <lcf76f155ced4ddcb4097134ff3c332f xmlns="bec98ab0-c939-49a1-bdf8-a824b6abe8d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3AA8B4C-B89C-4225-9E17-FDA17A8200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D13A37-B602-4E66-9D44-26B4902B857D}">
  <ds:schemaRefs>
    <ds:schemaRef ds:uri="http://schemas.microsoft.com/office/2006/metadata/properties"/>
    <ds:schemaRef ds:uri="http://schemas.microsoft.com/office/infopath/2007/PartnerControls"/>
    <ds:schemaRef ds:uri="4737b361-35a6-4908-86d4-6df482422a04"/>
    <ds:schemaRef ds:uri="bec98ab0-c939-49a1-bdf8-a824b6abe8d9"/>
    <ds:schemaRef ds:uri="http://schemas.microsoft.com/sharepoint/v3"/>
    <ds:schemaRef ds:uri="f76aaf80-9812-406c-9dd3-ccb851cf3a75"/>
  </ds:schemaRefs>
</ds:datastoreItem>
</file>

<file path=customXml/itemProps3.xml><?xml version="1.0" encoding="utf-8"?>
<ds:datastoreItem xmlns:ds="http://schemas.openxmlformats.org/officeDocument/2006/customXml" ds:itemID="{B0A7ED52-BCD1-4B69-AB79-757A08A94F3B}">
  <ds:schemaRefs>
    <ds:schemaRef ds:uri="http://schemas.microsoft.com/sharepoint/v3/contenttype/forms"/>
  </ds:schemaRefs>
</ds:datastoreItem>
</file>

<file path=customXml/itemProps4.xml><?xml version="1.0" encoding="utf-8"?>
<ds:datastoreItem xmlns:ds="http://schemas.openxmlformats.org/officeDocument/2006/customXml" ds:itemID="{98E50297-B10C-41C8-8421-909461DA7E7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4</Pages>
  <Words>1049</Words>
  <Characters>5677</Characters>
  <Application>Microsoft Office Word</Application>
  <DocSecurity>0</DocSecurity>
  <Lines>115</Lines>
  <Paragraphs>36</Paragraphs>
  <ScaleCrop>false</ScaleCrop>
  <Company/>
  <LinksUpToDate>false</LinksUpToDate>
  <CharactersWithSpaces>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Maxwell-Campagna, Katia KM [NC]</dc:creator>
  <cp:keywords/>
  <dc:description/>
  <cp:lastModifiedBy>Maxwell-Campagna, Katia KM [NC]</cp:lastModifiedBy>
  <cp:revision>32</cp:revision>
  <cp:lastPrinted>2025-10-30T18:04:00Z</cp:lastPrinted>
  <dcterms:created xsi:type="dcterms:W3CDTF">2025-10-30T18:00:00Z</dcterms:created>
  <dcterms:modified xsi:type="dcterms:W3CDTF">2025-11-05T18:27:00Z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1d835ddc-93f3-4ac3-8247-408ac0d43709</vt:lpwstr>
  </property>
  <property fmtid="{D5CDD505-2E9C-101B-9397-08002B2CF9AE}" pid="4" name="MediaServiceImageTags">
    <vt:lpwstr/>
  </property>
</Properties>
</file>